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6A6B" w:rsidRDefault="00356A6B" w:rsidP="00E80EA2">
      <w:pPr>
        <w:spacing w:after="0" w:line="480" w:lineRule="auto"/>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Name</w:t>
      </w:r>
    </w:p>
    <w:p w:rsidR="00356A6B" w:rsidRDefault="00356A6B" w:rsidP="00E80EA2">
      <w:pPr>
        <w:spacing w:after="0" w:line="480" w:lineRule="auto"/>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Professor</w:t>
      </w:r>
    </w:p>
    <w:p w:rsidR="00356A6B" w:rsidRDefault="00356A6B" w:rsidP="00E80EA2">
      <w:pPr>
        <w:spacing w:after="0" w:line="480" w:lineRule="auto"/>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Title</w:t>
      </w:r>
    </w:p>
    <w:p w:rsidR="00356A6B" w:rsidRDefault="00356A6B" w:rsidP="00E80EA2">
      <w:pPr>
        <w:spacing w:after="0" w:line="480" w:lineRule="auto"/>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Date</w:t>
      </w:r>
    </w:p>
    <w:p w:rsidR="00E80EA2" w:rsidRDefault="00E80EA2" w:rsidP="00E80EA2">
      <w:pPr>
        <w:spacing w:after="0" w:line="480" w:lineRule="auto"/>
        <w:contextualSpacing/>
        <w:jc w:val="center"/>
        <w:rPr>
          <w:rFonts w:ascii="Times New Roman" w:hAnsi="Times New Roman" w:cs="Times New Roman"/>
          <w:b/>
          <w:color w:val="222222"/>
          <w:sz w:val="24"/>
          <w:szCs w:val="24"/>
          <w:shd w:val="clear" w:color="auto" w:fill="FFFFFF"/>
        </w:rPr>
      </w:pPr>
      <w:bookmarkStart w:id="0" w:name="_GoBack"/>
      <w:r>
        <w:rPr>
          <w:rFonts w:ascii="Times New Roman" w:hAnsi="Times New Roman" w:cs="Times New Roman"/>
          <w:b/>
          <w:color w:val="222222"/>
          <w:sz w:val="24"/>
          <w:szCs w:val="24"/>
          <w:shd w:val="clear" w:color="auto" w:fill="FFFFFF"/>
        </w:rPr>
        <w:t>North American Archeology</w:t>
      </w:r>
    </w:p>
    <w:bookmarkEnd w:id="0"/>
    <w:p w:rsidR="004C0675" w:rsidRPr="004C0675" w:rsidRDefault="004C0675" w:rsidP="00E80EA2">
      <w:pPr>
        <w:spacing w:after="0" w:line="480" w:lineRule="auto"/>
        <w:contextualSpacing/>
        <w:rPr>
          <w:rFonts w:ascii="Times New Roman" w:hAnsi="Times New Roman" w:cs="Times New Roman"/>
          <w:b/>
          <w:color w:val="222222"/>
          <w:sz w:val="24"/>
          <w:szCs w:val="24"/>
          <w:shd w:val="clear" w:color="auto" w:fill="FFFFFF"/>
        </w:rPr>
      </w:pPr>
      <w:r w:rsidRPr="004C0675">
        <w:rPr>
          <w:rFonts w:ascii="Times New Roman" w:hAnsi="Times New Roman" w:cs="Times New Roman"/>
          <w:b/>
          <w:color w:val="222222"/>
          <w:sz w:val="24"/>
          <w:szCs w:val="24"/>
          <w:shd w:val="clear" w:color="auto" w:fill="FFFFFF"/>
        </w:rPr>
        <w:t>Introduction</w:t>
      </w:r>
    </w:p>
    <w:p w:rsidR="00D73B76" w:rsidRDefault="00D73B76" w:rsidP="00E80EA2">
      <w:pPr>
        <w:spacing w:after="0" w:line="480" w:lineRule="auto"/>
        <w:ind w:firstLine="720"/>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Factors such as political centers, hierarchy, labor mobilization and regional integration are associated with complex societies. For excavation of complexity of a society you consider the settlement patterns or site structure, hierarchies in site size, variability in architecture, specialized production of goods beyond subsistence and craft specialist.</w:t>
      </w:r>
      <w:r w:rsidR="006B327A">
        <w:rPr>
          <w:rFonts w:ascii="Times New Roman" w:hAnsi="Times New Roman" w:cs="Times New Roman"/>
          <w:color w:val="222222"/>
          <w:sz w:val="24"/>
          <w:szCs w:val="24"/>
          <w:shd w:val="clear" w:color="auto" w:fill="FFFFFF"/>
        </w:rPr>
        <w:t xml:space="preserve"> The Chaco Canyon region of the American Southwest is a national park and United Nations Educational, Scientific, and Cultural Organization (UNESCO) Word Heritage site,</w:t>
      </w:r>
      <w:r w:rsidR="00703165">
        <w:rPr>
          <w:rFonts w:ascii="Times New Roman" w:hAnsi="Times New Roman" w:cs="Times New Roman"/>
          <w:color w:val="222222"/>
          <w:sz w:val="24"/>
          <w:szCs w:val="24"/>
          <w:shd w:val="clear" w:color="auto" w:fill="FFFFFF"/>
        </w:rPr>
        <w:t xml:space="preserve"> which</w:t>
      </w:r>
      <w:r w:rsidR="006B327A">
        <w:rPr>
          <w:rFonts w:ascii="Times New Roman" w:hAnsi="Times New Roman" w:cs="Times New Roman"/>
          <w:color w:val="222222"/>
          <w:sz w:val="24"/>
          <w:szCs w:val="24"/>
          <w:shd w:val="clear" w:color="auto" w:fill="FFFFFF"/>
        </w:rPr>
        <w:t xml:space="preserve"> has fascinated and puzzled explorers since the 19</w:t>
      </w:r>
      <w:r w:rsidR="006B327A" w:rsidRPr="006B327A">
        <w:rPr>
          <w:rFonts w:ascii="Times New Roman" w:hAnsi="Times New Roman" w:cs="Times New Roman"/>
          <w:color w:val="222222"/>
          <w:sz w:val="24"/>
          <w:szCs w:val="24"/>
          <w:shd w:val="clear" w:color="auto" w:fill="FFFFFF"/>
          <w:vertAlign w:val="superscript"/>
        </w:rPr>
        <w:t>th</w:t>
      </w:r>
      <w:r w:rsidR="006B327A">
        <w:rPr>
          <w:rFonts w:ascii="Times New Roman" w:hAnsi="Times New Roman" w:cs="Times New Roman"/>
          <w:color w:val="222222"/>
          <w:sz w:val="24"/>
          <w:szCs w:val="24"/>
          <w:shd w:val="clear" w:color="auto" w:fill="FFFFFF"/>
        </w:rPr>
        <w:t xml:space="preserve"> century. The site is locate</w:t>
      </w:r>
      <w:r w:rsidR="004C0675">
        <w:rPr>
          <w:rFonts w:ascii="Times New Roman" w:hAnsi="Times New Roman" w:cs="Times New Roman"/>
          <w:color w:val="222222"/>
          <w:sz w:val="24"/>
          <w:szCs w:val="24"/>
          <w:shd w:val="clear" w:color="auto" w:fill="FFFFFF"/>
        </w:rPr>
        <w:t xml:space="preserve">d </w:t>
      </w:r>
      <w:r w:rsidR="006B327A">
        <w:rPr>
          <w:rFonts w:ascii="Times New Roman" w:hAnsi="Times New Roman" w:cs="Times New Roman"/>
          <w:color w:val="222222"/>
          <w:sz w:val="24"/>
          <w:szCs w:val="24"/>
          <w:shd w:val="clear" w:color="auto" w:fill="FFFFFF"/>
        </w:rPr>
        <w:t xml:space="preserve"> in New Mexico and it is famous for its unusual architecture and the dense packing of at least fifteen large, multi-pueblos with core and veneer architecture, buildings referred to as great houses. The </w:t>
      </w:r>
      <w:r w:rsidR="00703165">
        <w:rPr>
          <w:rFonts w:ascii="Times New Roman" w:hAnsi="Times New Roman" w:cs="Times New Roman"/>
          <w:color w:val="222222"/>
          <w:sz w:val="24"/>
          <w:szCs w:val="24"/>
          <w:shd w:val="clear" w:color="auto" w:fill="FFFFFF"/>
        </w:rPr>
        <w:t xml:space="preserve">Chaco </w:t>
      </w:r>
      <w:r w:rsidR="006B327A">
        <w:rPr>
          <w:rFonts w:ascii="Times New Roman" w:hAnsi="Times New Roman" w:cs="Times New Roman"/>
          <w:color w:val="222222"/>
          <w:sz w:val="24"/>
          <w:szCs w:val="24"/>
          <w:shd w:val="clear" w:color="auto" w:fill="FFFFFF"/>
        </w:rPr>
        <w:t>era represented one of the most remarkable examples of rapid, multifaceted culture change in the pre-</w:t>
      </w:r>
      <w:r w:rsidR="00703165">
        <w:rPr>
          <w:rFonts w:ascii="Times New Roman" w:hAnsi="Times New Roman" w:cs="Times New Roman"/>
          <w:color w:val="222222"/>
          <w:sz w:val="24"/>
          <w:szCs w:val="24"/>
          <w:shd w:val="clear" w:color="auto" w:fill="FFFFFF"/>
        </w:rPr>
        <w:t>Hispanic</w:t>
      </w:r>
      <w:r w:rsidR="006B327A">
        <w:rPr>
          <w:rFonts w:ascii="Times New Roman" w:hAnsi="Times New Roman" w:cs="Times New Roman"/>
          <w:color w:val="222222"/>
          <w:sz w:val="24"/>
          <w:szCs w:val="24"/>
          <w:shd w:val="clear" w:color="auto" w:fill="FFFFFF"/>
        </w:rPr>
        <w:t xml:space="preserve"> New World. </w:t>
      </w:r>
    </w:p>
    <w:p w:rsidR="00854DA0" w:rsidRDefault="00703165" w:rsidP="00E80EA2">
      <w:pPr>
        <w:spacing w:after="0" w:line="480" w:lineRule="auto"/>
        <w:ind w:firstLine="720"/>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Analyses of the mortuary behavior of the canyon inhabitants will help in addressing the topic of sociopolitical differentiation and long-term social dynamics of the Chaco inhabitants. In the region there is a long recognized paradox: cemeteries are common at small house settlements but none have been found associated with great houses. To address this you look at the information on small house sites and then examine a set of burial-related rooms in a single great house. </w:t>
      </w:r>
    </w:p>
    <w:p w:rsidR="00296F18" w:rsidRDefault="00296F18" w:rsidP="00E80EA2">
      <w:pPr>
        <w:spacing w:after="0" w:line="480" w:lineRule="auto"/>
        <w:contextualSpacing/>
        <w:rPr>
          <w:rFonts w:ascii="Times New Roman" w:hAnsi="Times New Roman" w:cs="Times New Roman"/>
          <w:b/>
          <w:color w:val="222222"/>
          <w:sz w:val="24"/>
          <w:szCs w:val="24"/>
          <w:shd w:val="clear" w:color="auto" w:fill="FFFFFF"/>
        </w:rPr>
      </w:pPr>
    </w:p>
    <w:p w:rsidR="00296F18" w:rsidRDefault="00296F18" w:rsidP="00E80EA2">
      <w:pPr>
        <w:spacing w:after="0" w:line="480" w:lineRule="auto"/>
        <w:contextualSpacing/>
        <w:rPr>
          <w:rFonts w:ascii="Times New Roman" w:hAnsi="Times New Roman" w:cs="Times New Roman"/>
          <w:b/>
          <w:color w:val="222222"/>
          <w:sz w:val="24"/>
          <w:szCs w:val="24"/>
          <w:shd w:val="clear" w:color="auto" w:fill="FFFFFF"/>
        </w:rPr>
      </w:pPr>
    </w:p>
    <w:p w:rsidR="009C5A33" w:rsidRDefault="009C5A33" w:rsidP="00E80EA2">
      <w:pPr>
        <w:spacing w:after="0" w:line="480" w:lineRule="auto"/>
        <w:contextualSpacing/>
        <w:rPr>
          <w:rFonts w:ascii="Times New Roman" w:hAnsi="Times New Roman" w:cs="Times New Roman"/>
          <w:b/>
          <w:color w:val="222222"/>
          <w:sz w:val="24"/>
          <w:szCs w:val="24"/>
          <w:shd w:val="clear" w:color="auto" w:fill="FFFFFF"/>
        </w:rPr>
      </w:pPr>
      <w:r w:rsidRPr="009C5A33">
        <w:rPr>
          <w:rFonts w:ascii="Times New Roman" w:hAnsi="Times New Roman" w:cs="Times New Roman"/>
          <w:b/>
          <w:color w:val="222222"/>
          <w:sz w:val="24"/>
          <w:szCs w:val="24"/>
          <w:shd w:val="clear" w:color="auto" w:fill="FFFFFF"/>
        </w:rPr>
        <w:t xml:space="preserve">Chacoan Mortuary Patterns: Small Houses </w:t>
      </w:r>
    </w:p>
    <w:p w:rsidR="008A2026" w:rsidRDefault="009C5A33" w:rsidP="00E80EA2">
      <w:pPr>
        <w:spacing w:after="0" w:line="480" w:lineRule="auto"/>
        <w:ind w:firstLine="720"/>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In addition to the known burials, several other factors also must be considered in evaluating the number of burials recovered from small houses. The recent excavation of the Chaco Project focused on masonry rooms, pit houses, and kivas with limited trenching in the trash middens where Chacoan small house residents typically interred their dead. Second there are very few publications documenting the frequent professional excavation of small houses in the 1930s and 1940s. The archival records reveal that excavation of small house cemeteries in the canyon by both professional and nonprofessionals was frequent </w:t>
      </w:r>
      <w:r w:rsidR="003500D0">
        <w:rPr>
          <w:rFonts w:ascii="Times New Roman" w:hAnsi="Times New Roman" w:cs="Times New Roman"/>
          <w:color w:val="222222"/>
          <w:sz w:val="24"/>
          <w:szCs w:val="24"/>
          <w:shd w:val="clear" w:color="auto" w:fill="FFFFFF"/>
        </w:rPr>
        <w:t>from the 1880s to the 1930s. Both professional and unprofessional search for pottery associated with the burials in the small house mounds began before the Hyde Expedition and continued through subsequent decades.</w:t>
      </w:r>
    </w:p>
    <w:p w:rsidR="008A2026" w:rsidRDefault="008A2026" w:rsidP="00E80EA2">
      <w:pPr>
        <w:spacing w:after="0" w:line="480" w:lineRule="auto"/>
        <w:contextualSpacing/>
        <w:rPr>
          <w:rFonts w:ascii="Times New Roman" w:hAnsi="Times New Roman" w:cs="Times New Roman"/>
          <w:b/>
          <w:color w:val="222222"/>
          <w:sz w:val="24"/>
          <w:szCs w:val="24"/>
          <w:shd w:val="clear" w:color="auto" w:fill="FFFFFF"/>
        </w:rPr>
      </w:pPr>
      <w:r w:rsidRPr="008A2026">
        <w:rPr>
          <w:rFonts w:ascii="Times New Roman" w:hAnsi="Times New Roman" w:cs="Times New Roman"/>
          <w:b/>
          <w:color w:val="222222"/>
          <w:sz w:val="24"/>
          <w:szCs w:val="24"/>
          <w:shd w:val="clear" w:color="auto" w:fill="FFFFFF"/>
        </w:rPr>
        <w:t>Microcosm: Great-House Burial Complex</w:t>
      </w:r>
    </w:p>
    <w:p w:rsidR="008A2026" w:rsidRDefault="001F10D2" w:rsidP="00E80EA2">
      <w:pPr>
        <w:spacing w:after="0" w:line="480" w:lineRule="auto"/>
        <w:ind w:firstLine="720"/>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The great house burial exploration is different from the small house. For the great house there were no cemeteries found in the trash mounds or other areas surrounding </w:t>
      </w:r>
      <w:r w:rsidR="00A76DA4">
        <w:rPr>
          <w:rFonts w:ascii="Times New Roman" w:hAnsi="Times New Roman" w:cs="Times New Roman"/>
          <w:color w:val="222222"/>
          <w:sz w:val="24"/>
          <w:szCs w:val="24"/>
          <w:shd w:val="clear" w:color="auto" w:fill="FFFFFF"/>
        </w:rPr>
        <w:t>Bonito</w:t>
      </w:r>
      <w:r>
        <w:rPr>
          <w:rFonts w:ascii="Times New Roman" w:hAnsi="Times New Roman" w:cs="Times New Roman"/>
          <w:color w:val="222222"/>
          <w:sz w:val="24"/>
          <w:szCs w:val="24"/>
          <w:shd w:val="clear" w:color="auto" w:fill="FFFFFF"/>
        </w:rPr>
        <w:t xml:space="preserve"> by both the Hyde Expedition and the National Geographic Society. In the Pueblo </w:t>
      </w:r>
      <w:r w:rsidR="00A76DA4">
        <w:rPr>
          <w:rFonts w:ascii="Times New Roman" w:hAnsi="Times New Roman" w:cs="Times New Roman"/>
          <w:color w:val="222222"/>
          <w:sz w:val="24"/>
          <w:szCs w:val="24"/>
          <w:shd w:val="clear" w:color="auto" w:fill="FFFFFF"/>
        </w:rPr>
        <w:t>Bonito</w:t>
      </w:r>
      <w:r>
        <w:rPr>
          <w:rFonts w:ascii="Times New Roman" w:hAnsi="Times New Roman" w:cs="Times New Roman"/>
          <w:color w:val="222222"/>
          <w:sz w:val="24"/>
          <w:szCs w:val="24"/>
          <w:shd w:val="clear" w:color="auto" w:fill="FFFFFF"/>
        </w:rPr>
        <w:t xml:space="preserve"> House there were recovered burials but their frequency was low than the expected. The </w:t>
      </w:r>
      <w:r w:rsidR="00A76DA4">
        <w:rPr>
          <w:rFonts w:ascii="Times New Roman" w:hAnsi="Times New Roman" w:cs="Times New Roman"/>
          <w:color w:val="222222"/>
          <w:sz w:val="24"/>
          <w:szCs w:val="24"/>
          <w:shd w:val="clear" w:color="auto" w:fill="FFFFFF"/>
        </w:rPr>
        <w:t>expected</w:t>
      </w:r>
      <w:r>
        <w:rPr>
          <w:rFonts w:ascii="Times New Roman" w:hAnsi="Times New Roman" w:cs="Times New Roman"/>
          <w:color w:val="222222"/>
          <w:sz w:val="24"/>
          <w:szCs w:val="24"/>
          <w:shd w:val="clear" w:color="auto" w:fill="FFFFFF"/>
        </w:rPr>
        <w:t xml:space="preserve"> frequency for a pueblo was expected to have had as many as 1,000 inhabitants. For these reasons, many regard Pueblo Bonito as the ritual and sociopolitical center of the Chacoan world. </w:t>
      </w:r>
    </w:p>
    <w:p w:rsidR="001F10D2" w:rsidRDefault="001F10D2" w:rsidP="00E80EA2">
      <w:pPr>
        <w:spacing w:after="0" w:line="480" w:lineRule="auto"/>
        <w:contextualSpacing/>
        <w:rPr>
          <w:rFonts w:ascii="Times New Roman" w:hAnsi="Times New Roman" w:cs="Times New Roman"/>
          <w:b/>
          <w:color w:val="222222"/>
          <w:sz w:val="24"/>
          <w:szCs w:val="24"/>
          <w:shd w:val="clear" w:color="auto" w:fill="FFFFFF"/>
        </w:rPr>
      </w:pPr>
      <w:r w:rsidRPr="001F10D2">
        <w:rPr>
          <w:rFonts w:ascii="Times New Roman" w:hAnsi="Times New Roman" w:cs="Times New Roman"/>
          <w:b/>
          <w:color w:val="222222"/>
          <w:sz w:val="24"/>
          <w:szCs w:val="24"/>
          <w:shd w:val="clear" w:color="auto" w:fill="FFFFFF"/>
        </w:rPr>
        <w:t xml:space="preserve">Macrocosm </w:t>
      </w:r>
    </w:p>
    <w:p w:rsidR="00937522" w:rsidRDefault="00541CCE" w:rsidP="00E80EA2">
      <w:pPr>
        <w:spacing w:after="0" w:line="480" w:lineRule="auto"/>
        <w:ind w:firstLine="720"/>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The key elements of the Pueblo worldview were represented in the rooms through the types and </w:t>
      </w:r>
      <w:r w:rsidR="00937522">
        <w:rPr>
          <w:rFonts w:ascii="Times New Roman" w:hAnsi="Times New Roman" w:cs="Times New Roman"/>
          <w:color w:val="222222"/>
          <w:sz w:val="24"/>
          <w:szCs w:val="24"/>
          <w:shd w:val="clear" w:color="auto" w:fill="FFFFFF"/>
        </w:rPr>
        <w:t>spatial</w:t>
      </w:r>
      <w:r>
        <w:rPr>
          <w:rFonts w:ascii="Times New Roman" w:hAnsi="Times New Roman" w:cs="Times New Roman"/>
          <w:color w:val="222222"/>
          <w:sz w:val="24"/>
          <w:szCs w:val="24"/>
          <w:shd w:val="clear" w:color="auto" w:fill="FFFFFF"/>
        </w:rPr>
        <w:t xml:space="preserve"> locations of the artifacts.</w:t>
      </w:r>
      <w:r w:rsidR="00937522">
        <w:rPr>
          <w:rFonts w:ascii="Times New Roman" w:hAnsi="Times New Roman" w:cs="Times New Roman"/>
          <w:color w:val="222222"/>
          <w:sz w:val="24"/>
          <w:szCs w:val="24"/>
          <w:shd w:val="clear" w:color="auto" w:fill="FFFFFF"/>
        </w:rPr>
        <w:t xml:space="preserve"> Due to</w:t>
      </w:r>
      <w:r>
        <w:rPr>
          <w:rFonts w:ascii="Times New Roman" w:hAnsi="Times New Roman" w:cs="Times New Roman"/>
          <w:color w:val="222222"/>
          <w:sz w:val="24"/>
          <w:szCs w:val="24"/>
          <w:shd w:val="clear" w:color="auto" w:fill="FFFFFF"/>
        </w:rPr>
        <w:t xml:space="preserve"> </w:t>
      </w:r>
      <w:r w:rsidR="00937522">
        <w:rPr>
          <w:rFonts w:ascii="Times New Roman" w:hAnsi="Times New Roman" w:cs="Times New Roman"/>
          <w:color w:val="222222"/>
          <w:sz w:val="24"/>
          <w:szCs w:val="24"/>
          <w:shd w:val="clear" w:color="auto" w:fill="FFFFFF"/>
        </w:rPr>
        <w:t>t</w:t>
      </w:r>
      <w:r w:rsidR="001F10D2">
        <w:rPr>
          <w:rFonts w:ascii="Times New Roman" w:hAnsi="Times New Roman" w:cs="Times New Roman"/>
          <w:color w:val="222222"/>
          <w:sz w:val="24"/>
          <w:szCs w:val="24"/>
          <w:shd w:val="clear" w:color="auto" w:fill="FFFFFF"/>
        </w:rPr>
        <w:t xml:space="preserve">he unusual complex distribution of bones and </w:t>
      </w:r>
      <w:r w:rsidR="00A76DA4">
        <w:rPr>
          <w:rFonts w:ascii="Times New Roman" w:hAnsi="Times New Roman" w:cs="Times New Roman"/>
          <w:color w:val="222222"/>
          <w:sz w:val="24"/>
          <w:szCs w:val="24"/>
          <w:shd w:val="clear" w:color="auto" w:fill="FFFFFF"/>
        </w:rPr>
        <w:t>materials</w:t>
      </w:r>
      <w:r w:rsidR="001F10D2">
        <w:rPr>
          <w:rFonts w:ascii="Times New Roman" w:hAnsi="Times New Roman" w:cs="Times New Roman"/>
          <w:color w:val="222222"/>
          <w:sz w:val="24"/>
          <w:szCs w:val="24"/>
          <w:shd w:val="clear" w:color="auto" w:fill="FFFFFF"/>
        </w:rPr>
        <w:t xml:space="preserve"> placed in th</w:t>
      </w:r>
      <w:r w:rsidR="00A76DA4">
        <w:rPr>
          <w:rFonts w:ascii="Times New Roman" w:hAnsi="Times New Roman" w:cs="Times New Roman"/>
          <w:color w:val="222222"/>
          <w:sz w:val="24"/>
          <w:szCs w:val="24"/>
          <w:shd w:val="clear" w:color="auto" w:fill="FFFFFF"/>
        </w:rPr>
        <w:t xml:space="preserve">e room over a span of 300 years, it is valid to suggest that the multiple characteristic of the room can be best explained as an effort to establish and legitimize sociopolitical hierarchies through reference to origin, ancestors, and cosmological powers. </w:t>
      </w:r>
      <w:r w:rsidR="00937522">
        <w:rPr>
          <w:rFonts w:ascii="Times New Roman" w:hAnsi="Times New Roman" w:cs="Times New Roman"/>
          <w:color w:val="222222"/>
          <w:sz w:val="24"/>
          <w:szCs w:val="24"/>
          <w:shd w:val="clear" w:color="auto" w:fill="FFFFFF"/>
        </w:rPr>
        <w:t xml:space="preserve">    </w:t>
      </w:r>
    </w:p>
    <w:p w:rsidR="00937522" w:rsidRDefault="00A76DA4" w:rsidP="00E80EA2">
      <w:pPr>
        <w:spacing w:after="0" w:line="480" w:lineRule="auto"/>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Archaeological evidence suggest that inequality first emerged among societies in which associated changes in social organization and subsistence allowed groups to remain sedentary and cope with resource variation by storing surplus production as opposed to moving to new areas. </w:t>
      </w:r>
      <w:r w:rsidR="00002C03">
        <w:rPr>
          <w:rFonts w:ascii="Times New Roman" w:hAnsi="Times New Roman" w:cs="Times New Roman"/>
          <w:color w:val="222222"/>
          <w:sz w:val="24"/>
          <w:szCs w:val="24"/>
          <w:shd w:val="clear" w:color="auto" w:fill="FFFFFF"/>
        </w:rPr>
        <w:t>In instances where domesticated animals were lacking and farming was the primary focus of the economy, as in the America Southwest, groups often invested considerable time in creating and maintaining fields.</w:t>
      </w:r>
      <w:r w:rsidR="00937522">
        <w:rPr>
          <w:rFonts w:ascii="Times New Roman" w:hAnsi="Times New Roman" w:cs="Times New Roman"/>
          <w:color w:val="222222"/>
          <w:sz w:val="24"/>
          <w:szCs w:val="24"/>
          <w:shd w:val="clear" w:color="auto" w:fill="FFFFFF"/>
        </w:rPr>
        <w:t xml:space="preserve"> </w:t>
      </w:r>
    </w:p>
    <w:p w:rsidR="001F10D2" w:rsidRDefault="008F0076" w:rsidP="00E80EA2">
      <w:pPr>
        <w:spacing w:after="0" w:line="480" w:lineRule="auto"/>
        <w:ind w:firstLine="720"/>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When communities and land ownership are sustained, more successful groups may legitimize, capitalize on, or simply explain their productive success by claiming greater access to ancestors and cosmological powers. </w:t>
      </w:r>
      <w:r w:rsidR="002E00E9">
        <w:rPr>
          <w:rFonts w:ascii="Times New Roman" w:hAnsi="Times New Roman" w:cs="Times New Roman"/>
          <w:color w:val="222222"/>
          <w:sz w:val="24"/>
          <w:szCs w:val="24"/>
          <w:shd w:val="clear" w:color="auto" w:fill="FFFFFF"/>
        </w:rPr>
        <w:t xml:space="preserve">Particular groups or houses, thus, may create origin structures laden with greater quantities of particular materials that show their access to ancestral origins and powers in contrast with other houses. Particular aspects of the house model make it easy to understand the mortuary crypts of Pueblo Bonito. The objects found in the Pueblo Bonito house were not just indicators of great-house significance or burial status, but rather they have more complex directional and cosmological associations that illustrate key principles of Chacoan ritual. The long-observed </w:t>
      </w:r>
      <w:r w:rsidR="00541CCE">
        <w:rPr>
          <w:rFonts w:ascii="Times New Roman" w:hAnsi="Times New Roman" w:cs="Times New Roman"/>
          <w:color w:val="222222"/>
          <w:sz w:val="24"/>
          <w:szCs w:val="24"/>
          <w:shd w:val="clear" w:color="auto" w:fill="FFFFFF"/>
        </w:rPr>
        <w:t xml:space="preserve">disparity in burial numbers and locations between small houses and great house in the canyon may have been a result of significant social differentiation in Chacoan society. The disparity between great and small houses mortuary practices was not a product of small resident populations of the great house or an inability to locate the great house cemeteries but a result of cultural rules that specified that only some individuals could be buried in Pueblo Bonito and other great houses. </w:t>
      </w:r>
    </w:p>
    <w:p w:rsidR="00541CCE" w:rsidRDefault="00541CCE" w:rsidP="00E80EA2">
      <w:pPr>
        <w:spacing w:after="0" w:line="480" w:lineRule="auto"/>
        <w:contextualSpacing/>
        <w:rPr>
          <w:rFonts w:ascii="Times New Roman" w:hAnsi="Times New Roman" w:cs="Times New Roman"/>
          <w:color w:val="222222"/>
          <w:sz w:val="24"/>
          <w:szCs w:val="24"/>
          <w:shd w:val="clear" w:color="auto" w:fill="FFFFFF"/>
        </w:rPr>
      </w:pPr>
    </w:p>
    <w:p w:rsidR="00541CCE" w:rsidRDefault="00541CCE" w:rsidP="00E80EA2">
      <w:pPr>
        <w:spacing w:after="0" w:line="480" w:lineRule="auto"/>
        <w:contextualSpacing/>
        <w:rPr>
          <w:rFonts w:ascii="Times New Roman" w:hAnsi="Times New Roman" w:cs="Times New Roman"/>
          <w:color w:val="222222"/>
          <w:sz w:val="24"/>
          <w:szCs w:val="24"/>
          <w:shd w:val="clear" w:color="auto" w:fill="FFFFFF"/>
        </w:rPr>
      </w:pPr>
    </w:p>
    <w:p w:rsidR="00E80EA2" w:rsidRDefault="00E80EA2" w:rsidP="00E80EA2">
      <w:pPr>
        <w:spacing w:after="0" w:line="480" w:lineRule="auto"/>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541CCE" w:rsidRDefault="00E80EA2" w:rsidP="00E80EA2">
      <w:pPr>
        <w:spacing w:after="0" w:line="480" w:lineRule="auto"/>
        <w:contextualSpacing/>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Work C</w:t>
      </w:r>
      <w:r w:rsidR="00541CCE">
        <w:rPr>
          <w:rFonts w:ascii="Times New Roman" w:hAnsi="Times New Roman" w:cs="Times New Roman"/>
          <w:color w:val="222222"/>
          <w:sz w:val="24"/>
          <w:szCs w:val="24"/>
          <w:shd w:val="clear" w:color="auto" w:fill="FFFFFF"/>
        </w:rPr>
        <w:t>ited</w:t>
      </w:r>
    </w:p>
    <w:p w:rsidR="00541CCE" w:rsidRDefault="00541CCE" w:rsidP="00E80EA2">
      <w:pPr>
        <w:spacing w:after="0" w:line="480" w:lineRule="auto"/>
        <w:ind w:left="720" w:hanging="720"/>
        <w:contextualSpacing/>
        <w:rPr>
          <w:rFonts w:ascii="Times New Roman" w:hAnsi="Times New Roman" w:cs="Times New Roman"/>
          <w:color w:val="222222"/>
          <w:sz w:val="24"/>
          <w:szCs w:val="24"/>
          <w:shd w:val="clear" w:color="auto" w:fill="FFFFFF"/>
        </w:rPr>
      </w:pPr>
      <w:r w:rsidRPr="00854DA0">
        <w:rPr>
          <w:rFonts w:ascii="Times New Roman" w:hAnsi="Times New Roman" w:cs="Times New Roman"/>
          <w:color w:val="222222"/>
          <w:sz w:val="24"/>
          <w:szCs w:val="24"/>
          <w:shd w:val="clear" w:color="auto" w:fill="FFFFFF"/>
        </w:rPr>
        <w:t>Plog, Stephen, and Carrie Heitman. "Hierarchy and social inequality in the American Southwest, AD 800–1200." </w:t>
      </w:r>
      <w:r w:rsidRPr="00854DA0">
        <w:rPr>
          <w:rFonts w:ascii="Times New Roman" w:hAnsi="Times New Roman" w:cs="Times New Roman"/>
          <w:i/>
          <w:iCs/>
          <w:color w:val="222222"/>
          <w:sz w:val="24"/>
          <w:szCs w:val="24"/>
          <w:shd w:val="clear" w:color="auto" w:fill="FFFFFF"/>
        </w:rPr>
        <w:t>Proceedings of the National Academy of Sciences</w:t>
      </w:r>
      <w:r w:rsidRPr="00854DA0">
        <w:rPr>
          <w:rFonts w:ascii="Times New Roman" w:hAnsi="Times New Roman" w:cs="Times New Roman"/>
          <w:color w:val="222222"/>
          <w:sz w:val="24"/>
          <w:szCs w:val="24"/>
          <w:shd w:val="clear" w:color="auto" w:fill="FFFFFF"/>
        </w:rPr>
        <w:t> 107.46 (2010): 19619-19626.</w:t>
      </w:r>
    </w:p>
    <w:p w:rsidR="00541CCE" w:rsidRPr="001F10D2" w:rsidRDefault="00541CCE" w:rsidP="00E80EA2">
      <w:pPr>
        <w:spacing w:after="0" w:line="480" w:lineRule="auto"/>
        <w:contextualSpacing/>
        <w:rPr>
          <w:rFonts w:ascii="Times New Roman" w:hAnsi="Times New Roman" w:cs="Times New Roman"/>
          <w:color w:val="222222"/>
          <w:sz w:val="24"/>
          <w:szCs w:val="24"/>
          <w:shd w:val="clear" w:color="auto" w:fill="FFFFFF"/>
        </w:rPr>
      </w:pPr>
    </w:p>
    <w:sectPr w:rsidR="00541CCE" w:rsidRPr="001F10D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046E" w:rsidRDefault="0043046E" w:rsidP="00356A6B">
      <w:pPr>
        <w:spacing w:after="0" w:line="240" w:lineRule="auto"/>
      </w:pPr>
      <w:r>
        <w:separator/>
      </w:r>
    </w:p>
  </w:endnote>
  <w:endnote w:type="continuationSeparator" w:id="0">
    <w:p w:rsidR="0043046E" w:rsidRDefault="0043046E" w:rsidP="00356A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046E" w:rsidRDefault="0043046E" w:rsidP="00356A6B">
      <w:pPr>
        <w:spacing w:after="0" w:line="240" w:lineRule="auto"/>
      </w:pPr>
      <w:r>
        <w:separator/>
      </w:r>
    </w:p>
  </w:footnote>
  <w:footnote w:type="continuationSeparator" w:id="0">
    <w:p w:rsidR="0043046E" w:rsidRDefault="0043046E" w:rsidP="00356A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6A6B" w:rsidRPr="00E80EA2" w:rsidRDefault="00356A6B">
    <w:pPr>
      <w:pStyle w:val="Header"/>
      <w:rPr>
        <w:rFonts w:ascii="Times New Roman" w:hAnsi="Times New Roman" w:cs="Times New Roman"/>
        <w:sz w:val="24"/>
      </w:rPr>
    </w:pPr>
    <w:r w:rsidRPr="00E80EA2">
      <w:rPr>
        <w:rFonts w:ascii="Times New Roman" w:hAnsi="Times New Roman" w:cs="Times New Roman"/>
        <w:sz w:val="24"/>
      </w:rPr>
      <w:ptab w:relativeTo="margin" w:alignment="right" w:leader="none"/>
    </w:r>
    <w:r w:rsidRPr="00E80EA2">
      <w:rPr>
        <w:rFonts w:ascii="Times New Roman" w:hAnsi="Times New Roman" w:cs="Times New Roman"/>
        <w:sz w:val="24"/>
      </w:rPr>
      <w:t xml:space="preserve">Surname </w:t>
    </w:r>
    <w:r w:rsidRPr="00E80EA2">
      <w:rPr>
        <w:rFonts w:ascii="Times New Roman" w:hAnsi="Times New Roman" w:cs="Times New Roman"/>
        <w:sz w:val="24"/>
      </w:rPr>
      <w:fldChar w:fldCharType="begin"/>
    </w:r>
    <w:r w:rsidRPr="00E80EA2">
      <w:rPr>
        <w:rFonts w:ascii="Times New Roman" w:hAnsi="Times New Roman" w:cs="Times New Roman"/>
        <w:sz w:val="24"/>
      </w:rPr>
      <w:instrText xml:space="preserve"> PAGE  \* Arabic  \* MERGEFORMAT </w:instrText>
    </w:r>
    <w:r w:rsidRPr="00E80EA2">
      <w:rPr>
        <w:rFonts w:ascii="Times New Roman" w:hAnsi="Times New Roman" w:cs="Times New Roman"/>
        <w:sz w:val="24"/>
      </w:rPr>
      <w:fldChar w:fldCharType="separate"/>
    </w:r>
    <w:r w:rsidR="0043046E">
      <w:rPr>
        <w:rFonts w:ascii="Times New Roman" w:hAnsi="Times New Roman" w:cs="Times New Roman"/>
        <w:noProof/>
        <w:sz w:val="24"/>
      </w:rPr>
      <w:t>1</w:t>
    </w:r>
    <w:r w:rsidRPr="00E80EA2">
      <w:rPr>
        <w:rFonts w:ascii="Times New Roman" w:hAnsi="Times New Roman" w:cs="Times New Roman"/>
        <w:sz w:val="24"/>
      </w:rPr>
      <w:fldChar w:fldCharType="end"/>
    </w:r>
  </w:p>
  <w:p w:rsidR="00356A6B" w:rsidRDefault="00356A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5736"/>
    <w:rsid w:val="00002C03"/>
    <w:rsid w:val="00145736"/>
    <w:rsid w:val="001F10D2"/>
    <w:rsid w:val="00296F18"/>
    <w:rsid w:val="002E00E9"/>
    <w:rsid w:val="003500D0"/>
    <w:rsid w:val="00356A6B"/>
    <w:rsid w:val="0043046E"/>
    <w:rsid w:val="004C0675"/>
    <w:rsid w:val="00541CCE"/>
    <w:rsid w:val="006B327A"/>
    <w:rsid w:val="00703165"/>
    <w:rsid w:val="00854DA0"/>
    <w:rsid w:val="008A2026"/>
    <w:rsid w:val="008F0076"/>
    <w:rsid w:val="00937522"/>
    <w:rsid w:val="009C5A33"/>
    <w:rsid w:val="00A76DA4"/>
    <w:rsid w:val="00B26055"/>
    <w:rsid w:val="00D73B76"/>
    <w:rsid w:val="00E724F7"/>
    <w:rsid w:val="00E80EA2"/>
    <w:rsid w:val="00E948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6A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6A6B"/>
  </w:style>
  <w:style w:type="paragraph" w:styleId="Footer">
    <w:name w:val="footer"/>
    <w:basedOn w:val="Normal"/>
    <w:link w:val="FooterChar"/>
    <w:uiPriority w:val="99"/>
    <w:unhideWhenUsed/>
    <w:rsid w:val="00356A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6A6B"/>
  </w:style>
  <w:style w:type="paragraph" w:styleId="BalloonText">
    <w:name w:val="Balloon Text"/>
    <w:basedOn w:val="Normal"/>
    <w:link w:val="BalloonTextChar"/>
    <w:uiPriority w:val="99"/>
    <w:semiHidden/>
    <w:unhideWhenUsed/>
    <w:rsid w:val="00356A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6A6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6A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6A6B"/>
  </w:style>
  <w:style w:type="paragraph" w:styleId="Footer">
    <w:name w:val="footer"/>
    <w:basedOn w:val="Normal"/>
    <w:link w:val="FooterChar"/>
    <w:uiPriority w:val="99"/>
    <w:unhideWhenUsed/>
    <w:rsid w:val="00356A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6A6B"/>
  </w:style>
  <w:style w:type="paragraph" w:styleId="BalloonText">
    <w:name w:val="Balloon Text"/>
    <w:basedOn w:val="Normal"/>
    <w:link w:val="BalloonTextChar"/>
    <w:uiPriority w:val="99"/>
    <w:semiHidden/>
    <w:unhideWhenUsed/>
    <w:rsid w:val="00356A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6A6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800</Words>
  <Characters>4566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2019-03-27T00:44:00Z</dcterms:created>
  <dcterms:modified xsi:type="dcterms:W3CDTF">2019-03-27T00:44:00Z</dcterms:modified>
</cp:coreProperties>
</file>